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22D44" w14:paraId="735D7127" w14:textId="77777777">
        <w:trPr>
          <w:trHeight w:val="20"/>
          <w:jc w:val="center"/>
        </w:trPr>
        <w:tc>
          <w:tcPr>
            <w:tcW w:w="1186" w:type="pct"/>
          </w:tcPr>
          <w:p w14:paraId="5C128F82" w14:textId="77777777" w:rsidR="00F22D4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F18540E" w14:textId="77777777" w:rsidR="00F22D44" w:rsidRDefault="00F22D4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</w:rPr>
                <w:t>Journal of Complementary and Alternative Medical Research</w:t>
              </w:r>
            </w:hyperlink>
          </w:p>
        </w:tc>
      </w:tr>
      <w:tr w:rsidR="00F22D44" w14:paraId="3F4F767D" w14:textId="77777777">
        <w:trPr>
          <w:trHeight w:val="20"/>
          <w:jc w:val="center"/>
        </w:trPr>
        <w:tc>
          <w:tcPr>
            <w:tcW w:w="1186" w:type="pct"/>
          </w:tcPr>
          <w:p w14:paraId="62CADDBA" w14:textId="77777777" w:rsidR="00F22D4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BA90C74" w14:textId="77777777" w:rsidR="00F22D4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Ms_JOCAMR_158418</w:t>
            </w:r>
          </w:p>
        </w:tc>
      </w:tr>
      <w:tr w:rsidR="00F22D44" w14:paraId="071840DF" w14:textId="77777777">
        <w:trPr>
          <w:trHeight w:val="20"/>
          <w:jc w:val="center"/>
        </w:trPr>
        <w:tc>
          <w:tcPr>
            <w:tcW w:w="1186" w:type="pct"/>
          </w:tcPr>
          <w:p w14:paraId="668163A9" w14:textId="77777777" w:rsidR="00F22D4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CD94AD3" w14:textId="77777777" w:rsidR="00F22D4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Clinical Role of Acupressure in Preventing Postoperative Nausea and Vomiting: A Scoping Review</w:t>
            </w:r>
          </w:p>
        </w:tc>
      </w:tr>
      <w:tr w:rsidR="00F22D44" w14:paraId="3B7F295E" w14:textId="77777777">
        <w:trPr>
          <w:trHeight w:val="20"/>
          <w:jc w:val="center"/>
        </w:trPr>
        <w:tc>
          <w:tcPr>
            <w:tcW w:w="1186" w:type="pct"/>
          </w:tcPr>
          <w:p w14:paraId="487D51AD" w14:textId="77777777" w:rsidR="00F22D4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AB32933" w14:textId="77777777" w:rsidR="00F22D4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6404AB8" w14:textId="77777777" w:rsidR="00F22D44" w:rsidRDefault="00F22D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862E1A7" w14:textId="77777777" w:rsidR="00F22D44" w:rsidRDefault="00F22D4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7789BA" w14:textId="77777777" w:rsidR="00F22D44" w:rsidRDefault="00F22D44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4F1250C0" w14:textId="77777777" w:rsidR="00F22D44" w:rsidRDefault="00F22D44">
      <w:pPr>
        <w:jc w:val="both"/>
        <w:rPr>
          <w:rFonts w:eastAsia="MS Mincho"/>
          <w:sz w:val="20"/>
          <w:szCs w:val="20"/>
          <w:lang w:val="en-GB"/>
        </w:rPr>
      </w:pPr>
    </w:p>
    <w:p w14:paraId="0CB0BB95" w14:textId="77777777" w:rsidR="00F22D44" w:rsidRDefault="00F22D44">
      <w:pPr>
        <w:jc w:val="both"/>
        <w:rPr>
          <w:rFonts w:eastAsia="MS Mincho"/>
          <w:sz w:val="20"/>
          <w:szCs w:val="20"/>
          <w:lang w:val="en-GB"/>
        </w:rPr>
      </w:pPr>
    </w:p>
    <w:p w14:paraId="731907D6" w14:textId="77777777" w:rsidR="00F22D44" w:rsidRDefault="00000000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24E8C3D" w14:textId="77777777" w:rsidR="00F22D44" w:rsidRDefault="00F22D44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3A66BE6D" w14:textId="77777777" w:rsidR="00F22D44" w:rsidRDefault="00F22D44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F22D44" w14:paraId="0FAB99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A43344" w14:textId="77777777" w:rsidR="00F22D44" w:rsidRDefault="00F22D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4F7F1C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4CC32FB" w14:textId="77777777" w:rsidR="00F22D44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CCB0E8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07F3A2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2A1968" w14:textId="77777777" w:rsidR="00F22D44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B1D7BB3" w14:textId="77777777" w:rsidR="00F22D44" w:rsidRDefault="00F22D4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1F88D3" w14:textId="604E09B6" w:rsidR="00F22D44" w:rsidRDefault="00D7012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Acupressure is a highly effective methods in clinical practice to avoid nausea and vomiting and also eliminating the need for other medications and carries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a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important practices in clinical practice.</w:t>
            </w:r>
          </w:p>
        </w:tc>
        <w:tc>
          <w:tcPr>
            <w:tcW w:w="1667" w:type="pct"/>
          </w:tcPr>
          <w:p w14:paraId="15D0D7CD" w14:textId="0691DE61" w:rsidR="00F22D44" w:rsidRDefault="009C6BD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Inter" w:hAnsi="Inter"/>
                <w:color w:val="1D1D1F"/>
                <w:sz w:val="21"/>
                <w:szCs w:val="21"/>
                <w:shd w:val="clear" w:color="auto" w:fill="FFFFFF"/>
              </w:rPr>
              <w:t>We thank the reviewer for affirming the clinical utility of acupressure in PONV management. We agree that non-pharmacological alternatives are increasingly vital in modern perioperative care. This perspective is reinforced in our revised Discussion, where we position PC6 acupressure as a complementary, nurse-deliverable intervention within enhanced recovery after surgery (ERAS) frameworks.</w:t>
            </w:r>
          </w:p>
        </w:tc>
      </w:tr>
    </w:tbl>
    <w:p w14:paraId="28ABDA7D" w14:textId="77777777" w:rsidR="00F22D44" w:rsidRDefault="00F22D44">
      <w:pPr>
        <w:rPr>
          <w:sz w:val="20"/>
          <w:szCs w:val="20"/>
          <w:lang w:val="en-GB"/>
        </w:rPr>
      </w:pPr>
    </w:p>
    <w:p w14:paraId="63E9B68A" w14:textId="77777777" w:rsidR="00F22D44" w:rsidRDefault="00F22D44">
      <w:pPr>
        <w:rPr>
          <w:sz w:val="20"/>
          <w:szCs w:val="20"/>
          <w:lang w:val="en-GB"/>
        </w:rPr>
      </w:pPr>
    </w:p>
    <w:p w14:paraId="180CB0C4" w14:textId="4DBCEB57" w:rsidR="00F22D44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A9118B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9E60082" w14:textId="77777777" w:rsidR="00F22D44" w:rsidRDefault="00F22D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F22D44" w14:paraId="2CB81B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AE42A2" w14:textId="77777777" w:rsidR="00F22D44" w:rsidRDefault="00F22D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3F1EAA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788231F" w14:textId="77777777" w:rsidR="00F22D44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22D44" w14:paraId="4BA6B5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F2BACF" w14:textId="77777777" w:rsidR="00F22D4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3F55F0E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C7D59" w14:textId="77777777" w:rsidR="00F22D44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7169F8" w14:textId="77777777" w:rsidR="00F22D4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5FB1022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4A67B4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8639B7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9610D28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426BAF" w14:textId="77777777" w:rsidR="00F22D4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29DC3B" w14:textId="77777777" w:rsidR="00F22D4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6F2C476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12925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88CB66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5EFABCC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9E7D3C" w14:textId="77777777" w:rsidR="00F22D4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37559E" w14:textId="77777777" w:rsidR="00F22D4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ADC5AC1" w14:textId="4F3F5A76" w:rsidR="00F22D44" w:rsidRDefault="009C6BD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Style w:val="qwen-markdown-text"/>
                <w:rFonts w:ascii="Inter" w:eastAsia="Arial Unicode MS" w:hAnsi="Inter"/>
                <w:color w:val="1D1D1F"/>
                <w:sz w:val="21"/>
                <w:szCs w:val="21"/>
                <w:bdr w:val="single" w:sz="2" w:space="0" w:color="E3E3E3" w:frame="1"/>
                <w:shd w:val="clear" w:color="auto" w:fill="FFFFFF"/>
              </w:rPr>
              <w:t xml:space="preserve">We have refined the keyword list to align with </w:t>
            </w:r>
            <w:proofErr w:type="spellStart"/>
            <w:r>
              <w:rPr>
                <w:rStyle w:val="qwen-markdown-text"/>
                <w:rFonts w:ascii="Inter" w:eastAsia="Arial Unicode MS" w:hAnsi="Inter"/>
                <w:color w:val="1D1D1F"/>
                <w:sz w:val="21"/>
                <w:szCs w:val="21"/>
                <w:bdr w:val="single" w:sz="2" w:space="0" w:color="E3E3E3" w:frame="1"/>
                <w:shd w:val="clear" w:color="auto" w:fill="FFFFFF"/>
              </w:rPr>
              <w:t>MeSH</w:t>
            </w:r>
            <w:proofErr w:type="spellEnd"/>
            <w:r>
              <w:rPr>
                <w:rStyle w:val="qwen-markdown-text"/>
                <w:rFonts w:ascii="Inter" w:eastAsia="Arial Unicode MS" w:hAnsi="Inter"/>
                <w:color w:val="1D1D1F"/>
                <w:sz w:val="21"/>
                <w:szCs w:val="21"/>
                <w:bdr w:val="single" w:sz="2" w:space="0" w:color="E3E3E3" w:frame="1"/>
                <w:shd w:val="clear" w:color="auto" w:fill="FFFFFF"/>
              </w:rPr>
              <w:t xml:space="preserve"> terminology and improve database discoverability. </w:t>
            </w:r>
            <w:r>
              <w:rPr>
                <w:rStyle w:val="qwen-markdown-text"/>
                <w:rFonts w:ascii="Inter" w:eastAsia="Arial Unicode MS" w:hAnsi="Inter"/>
                <w:b/>
                <w:bCs/>
                <w:color w:val="1D1D1F"/>
                <w:sz w:val="21"/>
                <w:szCs w:val="21"/>
                <w:bdr w:val="single" w:sz="2" w:space="0" w:color="E3E3E3" w:frame="1"/>
                <w:shd w:val="clear" w:color="auto" w:fill="FFFFFF"/>
              </w:rPr>
              <w:t>Revised keywords:</w:t>
            </w:r>
            <w:r>
              <w:rPr>
                <w:rStyle w:val="qwen-markdown-text"/>
                <w:rFonts w:ascii="Inter" w:eastAsia="Arial Unicode MS" w:hAnsi="Inter"/>
                <w:color w:val="1D1D1F"/>
                <w:sz w:val="21"/>
                <w:szCs w:val="21"/>
                <w:bdr w:val="single" w:sz="2" w:space="0" w:color="E3E3E3" w:frame="1"/>
                <w:shd w:val="clear" w:color="auto" w:fill="FFFFFF"/>
              </w:rPr>
              <w:t xml:space="preserve"> </w:t>
            </w:r>
            <w:r>
              <w:rPr>
                <w:rStyle w:val="qwen-markdown-text"/>
                <w:rFonts w:ascii="Inter" w:eastAsia="Arial Unicode MS" w:hAnsi="Inter"/>
                <w:i/>
                <w:iCs/>
                <w:color w:val="1D1D1F"/>
                <w:sz w:val="21"/>
                <w:szCs w:val="21"/>
                <w:bdr w:val="single" w:sz="2" w:space="0" w:color="E3E3E3" w:frame="1"/>
                <w:shd w:val="clear" w:color="auto" w:fill="FFFFFF"/>
              </w:rPr>
              <w:t xml:space="preserve">Acupressure; PC6 point; Postoperative nausea and vomiting; PONV prophylaxis; </w:t>
            </w:r>
            <w:proofErr w:type="gramStart"/>
            <w:r>
              <w:rPr>
                <w:rStyle w:val="qwen-markdown-text"/>
                <w:rFonts w:ascii="Inter" w:eastAsia="Arial Unicode MS" w:hAnsi="Inter"/>
                <w:i/>
                <w:iCs/>
                <w:color w:val="1D1D1F"/>
                <w:sz w:val="21"/>
                <w:szCs w:val="21"/>
                <w:bdr w:val="single" w:sz="2" w:space="0" w:color="E3E3E3" w:frame="1"/>
                <w:shd w:val="clear" w:color="auto" w:fill="FFFFFF"/>
              </w:rPr>
              <w:t>Non-pharmacological</w:t>
            </w:r>
            <w:proofErr w:type="gramEnd"/>
            <w:r>
              <w:rPr>
                <w:rStyle w:val="qwen-markdown-text"/>
                <w:rFonts w:ascii="Inter" w:eastAsia="Arial Unicode MS" w:hAnsi="Inter"/>
                <w:i/>
                <w:iCs/>
                <w:color w:val="1D1D1F"/>
                <w:sz w:val="21"/>
                <w:szCs w:val="21"/>
                <w:bdr w:val="single" w:sz="2" w:space="0" w:color="E3E3E3" w:frame="1"/>
                <w:shd w:val="clear" w:color="auto" w:fill="FFFFFF"/>
              </w:rPr>
              <w:t xml:space="preserve"> intervention; Scoping review; Perioperative care; Resource-limited settings</w:t>
            </w:r>
          </w:p>
        </w:tc>
      </w:tr>
      <w:tr w:rsidR="00F22D44" w14:paraId="321F4F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D7F974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289884C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3E8514" w14:textId="77777777" w:rsidR="00F22D4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843653" w14:textId="77777777" w:rsidR="00F22D4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924C17B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4BAE10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369D80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28452B57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9C7B8E" w14:textId="77777777" w:rsidR="00F22D4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3CACFD" w14:textId="77777777" w:rsidR="00F22D4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8C51471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0370A1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C281EE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13FF7370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FC396C" w14:textId="77777777" w:rsidR="00F22D4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33C4BD" w14:textId="77777777" w:rsidR="00F22D4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90F8511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77F0FA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E28BE4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181D6AF2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C7379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06AD37" w14:textId="77777777" w:rsidR="00F22D4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7300307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2DCE20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CDEEED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6153F4E7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E73707" w14:textId="77777777" w:rsidR="00F22D4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370412" w14:textId="77777777" w:rsidR="00F22D4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2A4228C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5602E9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AEF40C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6DD54BD8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CB955B" w14:textId="77777777" w:rsidR="00F22D4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2D8F83" w14:textId="77777777" w:rsidR="00F22D4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1E76B0E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420EB3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C2DA3C" w14:textId="77777777" w:rsidR="00F22D4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63B1A7E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7446CA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BCC8655" w14:textId="77777777" w:rsidR="00F22D44" w:rsidRDefault="00F22D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4A2147" w14:textId="77777777" w:rsidR="00F22D44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4</w:t>
            </w:r>
          </w:p>
        </w:tc>
        <w:tc>
          <w:tcPr>
            <w:tcW w:w="1667" w:type="pct"/>
          </w:tcPr>
          <w:p w14:paraId="76EB75AF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1D550F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F82349" w14:textId="77777777" w:rsidR="00F22D4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26E8361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B3149B" w14:textId="77777777" w:rsidR="00F22D4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2A353B" w14:textId="77777777" w:rsidR="00F22D44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F48F7BE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7E2AD6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46A5DA" w14:textId="77777777" w:rsidR="00F22D4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85585C5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F9ADC8" w14:textId="77777777" w:rsidR="00F22D4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8CBBFB" w14:textId="77777777" w:rsidR="00F22D44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E145C6E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0AFD5A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702394" w14:textId="77777777" w:rsidR="00F22D4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511CFD8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F343D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63C66D" w14:textId="77777777" w:rsidR="00F22D4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0C01B44" w14:textId="77777777" w:rsidR="00F22D44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4E2C71D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75510A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9838E9" w14:textId="77777777" w:rsidR="00F22D4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ECC016F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5FE169" w14:textId="77777777" w:rsidR="00F22D4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5723B5" w14:textId="77777777" w:rsidR="00F22D4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A0190D2" w14:textId="77777777" w:rsidR="00F22D44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91DBFBA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1155856" w14:textId="77777777" w:rsidR="00F22D44" w:rsidRDefault="00F22D4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AEAC244" w14:textId="77777777" w:rsidR="00F22D44" w:rsidRDefault="00F22D4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B2BA18A" w14:textId="77777777" w:rsidR="00F22D44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3E10844" w14:textId="77777777" w:rsidR="00F22D44" w:rsidRDefault="00F22D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F22D44" w14:paraId="69C7BB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071070" w14:textId="77777777" w:rsidR="00F22D44" w:rsidRDefault="00F22D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0E7C91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BCDA562" w14:textId="77777777" w:rsidR="00F22D44" w:rsidRDefault="00F22D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4E9138" w14:textId="77777777" w:rsidR="00F22D44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25EB7C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7B5EAC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668F57" w14:textId="77777777" w:rsidR="00F22D4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95CC55" w14:textId="77777777" w:rsidR="00F22D44" w:rsidRDefault="00F22D44">
            <w:pPr>
              <w:rPr>
                <w:bCs/>
                <w:sz w:val="20"/>
                <w:szCs w:val="20"/>
                <w:lang w:val="en-GB"/>
              </w:rPr>
            </w:pPr>
          </w:p>
          <w:p w14:paraId="20CC968C" w14:textId="77777777" w:rsidR="00F22D44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3B83F24" w14:textId="77777777" w:rsidR="00F22D4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E5B3074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4B2FAD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1DEC2C" w14:textId="77777777" w:rsidR="00F22D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8FA4499" w14:textId="77777777" w:rsidR="00F22D44" w:rsidRDefault="00F22D44">
            <w:pPr>
              <w:rPr>
                <w:bCs/>
                <w:sz w:val="20"/>
                <w:szCs w:val="20"/>
                <w:lang w:val="en-GB"/>
              </w:rPr>
            </w:pPr>
          </w:p>
          <w:p w14:paraId="6426A215" w14:textId="77777777" w:rsidR="00F22D44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924ED2D" w14:textId="77777777" w:rsidR="00F22D4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8ABA040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56B986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19A045" w14:textId="77777777" w:rsidR="00F22D44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52663B7" w14:textId="77777777" w:rsidR="00F22D44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CCC25A4" w14:textId="77777777" w:rsidR="00F22D44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ECCED54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22D44" w14:paraId="613A5D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7B3DDF" w14:textId="77777777" w:rsidR="00F22D4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10157D2" w14:textId="77777777" w:rsidR="00F22D44" w:rsidRDefault="00F22D44">
            <w:pPr>
              <w:rPr>
                <w:bCs/>
                <w:sz w:val="20"/>
                <w:szCs w:val="20"/>
                <w:lang w:val="en-GB"/>
              </w:rPr>
            </w:pPr>
          </w:p>
          <w:p w14:paraId="0B92FBE4" w14:textId="77777777" w:rsidR="00F22D4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0D6232F" w14:textId="77777777" w:rsidR="00F22D44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Yes. References number 35 has been mentioned in bibliography but not in the manuscript. Mention about it in manuscript.</w:t>
            </w:r>
          </w:p>
        </w:tc>
        <w:tc>
          <w:tcPr>
            <w:tcW w:w="1667" w:type="pct"/>
          </w:tcPr>
          <w:p w14:paraId="5210953E" w14:textId="518B4AA7" w:rsidR="00F22D44" w:rsidRDefault="009C6BD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Inter" w:hAnsi="Inter"/>
                <w:color w:val="1D1D1F"/>
                <w:sz w:val="21"/>
                <w:szCs w:val="21"/>
                <w:shd w:val="clear" w:color="auto" w:fill="FFFFFF"/>
              </w:rPr>
              <w:t xml:space="preserve">We appreciate the reviewer's attention to citation consistency. Reference 35 has now been </w:t>
            </w:r>
            <w:r w:rsidR="00BE5AB9">
              <w:rPr>
                <w:rFonts w:ascii="Inter" w:hAnsi="Inter"/>
                <w:color w:val="1D1D1F"/>
                <w:sz w:val="21"/>
                <w:szCs w:val="21"/>
                <w:shd w:val="clear" w:color="auto" w:fill="FFFFFF"/>
              </w:rPr>
              <w:t>removed</w:t>
            </w:r>
            <w:r>
              <w:rPr>
                <w:rFonts w:ascii="Inter" w:hAnsi="Inter"/>
                <w:color w:val="1D1D1F"/>
                <w:sz w:val="21"/>
                <w:szCs w:val="21"/>
                <w:shd w:val="clear" w:color="auto" w:fill="FFFFFF"/>
              </w:rPr>
              <w:t>. All bibliography entries have been cross-verified against in-text citations.</w:t>
            </w:r>
          </w:p>
        </w:tc>
      </w:tr>
      <w:tr w:rsidR="00F22D44" w14:paraId="61F14F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15E956" w14:textId="77777777" w:rsidR="00F22D4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EA53520" w14:textId="77777777" w:rsidR="00F22D44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F3DEE5" w14:textId="77777777" w:rsidR="00F22D44" w:rsidRDefault="00F22D44">
            <w:pPr>
              <w:rPr>
                <w:bCs/>
                <w:sz w:val="20"/>
                <w:szCs w:val="20"/>
                <w:lang w:val="en-GB"/>
              </w:rPr>
            </w:pPr>
          </w:p>
          <w:p w14:paraId="40BAE1F7" w14:textId="77777777" w:rsidR="00F22D44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7B9459" w14:textId="77777777" w:rsidR="00F22D44" w:rsidRDefault="00F22D4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F70F73" w14:textId="77777777" w:rsidR="00F22D44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20185E95" w14:textId="77777777" w:rsidR="00F22D44" w:rsidRDefault="00F22D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886A45" w14:textId="77777777" w:rsidR="00F22D44" w:rsidRDefault="00F22D44">
      <w:pPr>
        <w:rPr>
          <w:sz w:val="20"/>
          <w:szCs w:val="20"/>
          <w:lang w:val="en-GB"/>
        </w:rPr>
      </w:pPr>
    </w:p>
    <w:p w14:paraId="696194EF" w14:textId="77777777" w:rsidR="00F22D44" w:rsidRDefault="00F22D4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sectPr w:rsidR="00F22D4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77E4" w14:textId="77777777" w:rsidR="004E586A" w:rsidRDefault="004E586A">
      <w:r>
        <w:separator/>
      </w:r>
    </w:p>
  </w:endnote>
  <w:endnote w:type="continuationSeparator" w:id="0">
    <w:p w14:paraId="09121CD1" w14:textId="77777777" w:rsidR="004E586A" w:rsidRDefault="004E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r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7C352" w14:textId="77777777" w:rsidR="00F22D4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F5CD8FC" w14:textId="77777777" w:rsidR="00F22D44" w:rsidRDefault="00F22D44">
    <w:pPr>
      <w:pStyle w:val="Footer"/>
      <w:jc w:val="right"/>
    </w:pPr>
  </w:p>
  <w:p w14:paraId="37FD1E3A" w14:textId="77777777" w:rsidR="00F22D44" w:rsidRDefault="00F22D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EAF63" w14:textId="77777777" w:rsidR="004E586A" w:rsidRDefault="004E586A">
      <w:r>
        <w:separator/>
      </w:r>
    </w:p>
  </w:footnote>
  <w:footnote w:type="continuationSeparator" w:id="0">
    <w:p w14:paraId="406528D8" w14:textId="77777777" w:rsidR="004E586A" w:rsidRDefault="004E5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0EC99" w14:textId="77777777" w:rsidR="00F22D44" w:rsidRDefault="00F22D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D17C3A" w14:textId="77777777" w:rsidR="00F22D44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047016B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808367">
    <w:abstractNumId w:val="3"/>
  </w:num>
  <w:num w:numId="2" w16cid:durableId="708838956">
    <w:abstractNumId w:val="7"/>
  </w:num>
  <w:num w:numId="3" w16cid:durableId="857280705">
    <w:abstractNumId w:val="6"/>
  </w:num>
  <w:num w:numId="4" w16cid:durableId="787049219">
    <w:abstractNumId w:val="8"/>
  </w:num>
  <w:num w:numId="5" w16cid:durableId="1477183191">
    <w:abstractNumId w:val="5"/>
  </w:num>
  <w:num w:numId="6" w16cid:durableId="339043485">
    <w:abstractNumId w:val="11"/>
  </w:num>
  <w:num w:numId="7" w16cid:durableId="1993607041">
    <w:abstractNumId w:val="2"/>
  </w:num>
  <w:num w:numId="8" w16cid:durableId="848831426">
    <w:abstractNumId w:val="10"/>
  </w:num>
  <w:num w:numId="9" w16cid:durableId="1391542360">
    <w:abstractNumId w:val="9"/>
  </w:num>
  <w:num w:numId="10" w16cid:durableId="1000936786">
    <w:abstractNumId w:val="1"/>
  </w:num>
  <w:num w:numId="11" w16cid:durableId="199318673">
    <w:abstractNumId w:val="0"/>
  </w:num>
  <w:num w:numId="12" w16cid:durableId="8839787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D44"/>
    <w:rsid w:val="00182955"/>
    <w:rsid w:val="002B2C12"/>
    <w:rsid w:val="004E586A"/>
    <w:rsid w:val="005E7385"/>
    <w:rsid w:val="007B2C7E"/>
    <w:rsid w:val="00964D60"/>
    <w:rsid w:val="009C6BD8"/>
    <w:rsid w:val="00A9118B"/>
    <w:rsid w:val="00BC6595"/>
    <w:rsid w:val="00BE5AB9"/>
    <w:rsid w:val="00C92887"/>
    <w:rsid w:val="00D22E89"/>
    <w:rsid w:val="00D7012B"/>
    <w:rsid w:val="00DA0F15"/>
    <w:rsid w:val="00EF797F"/>
    <w:rsid w:val="00F163A1"/>
    <w:rsid w:val="00F2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0DF10"/>
  <w15:docId w15:val="{BCD2FEA1-D34E-44A5-ABCD-4537FE78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NG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F163A1"/>
    <w:rPr>
      <w:color w:val="605E5C"/>
      <w:shd w:val="clear" w:color="auto" w:fill="E1DFDD"/>
    </w:rPr>
  </w:style>
  <w:style w:type="character" w:customStyle="1" w:styleId="qwen-markdown-text">
    <w:name w:val="qwen-markdown-text"/>
    <w:basedOn w:val="DefaultParagraphFont"/>
    <w:rsid w:val="009C6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ocam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734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stevens olaide oyeleke</cp:lastModifiedBy>
  <cp:revision>3</cp:revision>
  <dcterms:created xsi:type="dcterms:W3CDTF">2026-05-21T09:20:00Z</dcterms:created>
  <dcterms:modified xsi:type="dcterms:W3CDTF">2026-05-21T09:25:00Z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86c3c2359c0f43018b1435866ca2ebb5_23</vt:lpwstr>
  </property>
</Properties>
</file>